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79F53" w14:textId="7C5C2E99" w:rsidR="00E4693F" w:rsidRDefault="00E4693F" w:rsidP="00E4693F">
      <w:pPr>
        <w:jc w:val="center"/>
        <w:rPr>
          <w:b/>
          <w:bCs/>
          <w:sz w:val="40"/>
          <w:szCs w:val="40"/>
        </w:rPr>
      </w:pPr>
      <w:r w:rsidRPr="00E4693F">
        <w:rPr>
          <w:b/>
          <w:bCs/>
          <w:sz w:val="40"/>
          <w:szCs w:val="40"/>
        </w:rPr>
        <w:t>Duty of Candour Annual Report</w:t>
      </w:r>
    </w:p>
    <w:tbl>
      <w:tblPr>
        <w:tblStyle w:val="TableGrid"/>
        <w:tblW w:w="0" w:type="auto"/>
        <w:tblLook w:val="04A0" w:firstRow="1" w:lastRow="0" w:firstColumn="1" w:lastColumn="0" w:noHBand="0" w:noVBand="1"/>
      </w:tblPr>
      <w:tblGrid>
        <w:gridCol w:w="3005"/>
        <w:gridCol w:w="6011"/>
      </w:tblGrid>
      <w:tr w:rsidR="00E4693F" w14:paraId="25C9B7FA" w14:textId="77777777" w:rsidTr="002F6CEE">
        <w:tc>
          <w:tcPr>
            <w:tcW w:w="3005" w:type="dxa"/>
          </w:tcPr>
          <w:p w14:paraId="23950FB5" w14:textId="3364BFD5" w:rsidR="00E4693F" w:rsidRDefault="00E4693F" w:rsidP="00E4693F">
            <w:pPr>
              <w:rPr>
                <w:b/>
                <w:bCs/>
              </w:rPr>
            </w:pPr>
            <w:r>
              <w:rPr>
                <w:b/>
                <w:bCs/>
              </w:rPr>
              <w:t>Name and address of service</w:t>
            </w:r>
          </w:p>
        </w:tc>
        <w:tc>
          <w:tcPr>
            <w:tcW w:w="6011" w:type="dxa"/>
          </w:tcPr>
          <w:p w14:paraId="59BE06E5" w14:textId="1945C924" w:rsidR="00E4693F" w:rsidRDefault="00E4693F" w:rsidP="00E4693F">
            <w:pPr>
              <w:rPr>
                <w:b/>
                <w:bCs/>
              </w:rPr>
            </w:pPr>
            <w:r>
              <w:rPr>
                <w:b/>
                <w:bCs/>
              </w:rPr>
              <w:t>1</w:t>
            </w:r>
            <w:r w:rsidRPr="00E4693F">
              <w:rPr>
                <w:b/>
                <w:bCs/>
                <w:vertAlign w:val="superscript"/>
              </w:rPr>
              <w:t>st</w:t>
            </w:r>
            <w:r>
              <w:rPr>
                <w:b/>
                <w:bCs/>
              </w:rPr>
              <w:t xml:space="preserve"> Focus Homecare</w:t>
            </w:r>
          </w:p>
          <w:p w14:paraId="4C5CA4C1" w14:textId="3EED9443" w:rsidR="00E4693F" w:rsidRDefault="00E4693F" w:rsidP="00E4693F">
            <w:pPr>
              <w:rPr>
                <w:b/>
                <w:bCs/>
              </w:rPr>
            </w:pPr>
            <w:r>
              <w:rPr>
                <w:b/>
                <w:bCs/>
              </w:rPr>
              <w:t xml:space="preserve">Unit </w:t>
            </w:r>
            <w:r w:rsidR="0012405C">
              <w:rPr>
                <w:b/>
                <w:bCs/>
              </w:rPr>
              <w:t>26</w:t>
            </w:r>
            <w:r>
              <w:rPr>
                <w:b/>
                <w:bCs/>
              </w:rPr>
              <w:t xml:space="preserve"> </w:t>
            </w:r>
            <w:proofErr w:type="spellStart"/>
            <w:r>
              <w:rPr>
                <w:b/>
                <w:bCs/>
              </w:rPr>
              <w:t>Castlebrae</w:t>
            </w:r>
            <w:proofErr w:type="spellEnd"/>
            <w:r>
              <w:rPr>
                <w:b/>
                <w:bCs/>
              </w:rPr>
              <w:t xml:space="preserve"> Business Centre</w:t>
            </w:r>
          </w:p>
          <w:p w14:paraId="7F38B66E" w14:textId="77777777" w:rsidR="00E4693F" w:rsidRDefault="00E4693F" w:rsidP="00E4693F">
            <w:pPr>
              <w:rPr>
                <w:b/>
                <w:bCs/>
              </w:rPr>
            </w:pPr>
            <w:proofErr w:type="spellStart"/>
            <w:r>
              <w:rPr>
                <w:b/>
                <w:bCs/>
              </w:rPr>
              <w:t>Peffer</w:t>
            </w:r>
            <w:proofErr w:type="spellEnd"/>
            <w:r>
              <w:rPr>
                <w:b/>
                <w:bCs/>
              </w:rPr>
              <w:t xml:space="preserve"> Place</w:t>
            </w:r>
          </w:p>
          <w:p w14:paraId="7445E881" w14:textId="3E41AD68" w:rsidR="00E4693F" w:rsidRDefault="00E4693F" w:rsidP="00E4693F">
            <w:pPr>
              <w:rPr>
                <w:b/>
                <w:bCs/>
              </w:rPr>
            </w:pPr>
            <w:r>
              <w:rPr>
                <w:b/>
                <w:bCs/>
              </w:rPr>
              <w:t>Edinburgh</w:t>
            </w:r>
          </w:p>
          <w:p w14:paraId="127ECEA1" w14:textId="733DADF1" w:rsidR="00E4693F" w:rsidRDefault="00E4693F" w:rsidP="00E4693F">
            <w:pPr>
              <w:rPr>
                <w:b/>
                <w:bCs/>
              </w:rPr>
            </w:pPr>
            <w:r>
              <w:rPr>
                <w:b/>
                <w:bCs/>
              </w:rPr>
              <w:t>EH16 4BB</w:t>
            </w:r>
          </w:p>
        </w:tc>
      </w:tr>
      <w:tr w:rsidR="00E4693F" w14:paraId="5737C45A" w14:textId="77777777" w:rsidTr="00C03F49">
        <w:tc>
          <w:tcPr>
            <w:tcW w:w="3005" w:type="dxa"/>
          </w:tcPr>
          <w:p w14:paraId="46A3C238" w14:textId="24094F47" w:rsidR="00E4693F" w:rsidRDefault="00E4693F" w:rsidP="00E4693F">
            <w:pPr>
              <w:rPr>
                <w:b/>
                <w:bCs/>
              </w:rPr>
            </w:pPr>
            <w:r>
              <w:rPr>
                <w:b/>
                <w:bCs/>
              </w:rPr>
              <w:t>Date of report</w:t>
            </w:r>
          </w:p>
        </w:tc>
        <w:tc>
          <w:tcPr>
            <w:tcW w:w="6011" w:type="dxa"/>
          </w:tcPr>
          <w:p w14:paraId="333A1B58" w14:textId="720BDB32" w:rsidR="00E4693F" w:rsidRDefault="00E4693F" w:rsidP="00E4693F">
            <w:pPr>
              <w:rPr>
                <w:b/>
                <w:bCs/>
              </w:rPr>
            </w:pPr>
            <w:r>
              <w:rPr>
                <w:b/>
                <w:bCs/>
              </w:rPr>
              <w:t>25/04/20</w:t>
            </w:r>
            <w:r w:rsidR="0012405C">
              <w:rPr>
                <w:b/>
                <w:bCs/>
              </w:rPr>
              <w:t>2</w:t>
            </w:r>
            <w:r w:rsidR="003C1541">
              <w:rPr>
                <w:b/>
                <w:bCs/>
              </w:rPr>
              <w:t>2</w:t>
            </w:r>
          </w:p>
        </w:tc>
      </w:tr>
      <w:tr w:rsidR="00E4693F" w14:paraId="2501ECF6" w14:textId="77777777" w:rsidTr="0079360A">
        <w:tc>
          <w:tcPr>
            <w:tcW w:w="3005" w:type="dxa"/>
          </w:tcPr>
          <w:p w14:paraId="1174922E" w14:textId="58F7BF5C" w:rsidR="00E4693F" w:rsidRDefault="00E4693F" w:rsidP="00E4693F">
            <w:pPr>
              <w:rPr>
                <w:b/>
                <w:bCs/>
              </w:rPr>
            </w:pPr>
            <w:r>
              <w:rPr>
                <w:b/>
                <w:bCs/>
              </w:rPr>
              <w:t>Training and responsibilities</w:t>
            </w:r>
          </w:p>
        </w:tc>
        <w:tc>
          <w:tcPr>
            <w:tcW w:w="6011" w:type="dxa"/>
          </w:tcPr>
          <w:p w14:paraId="0DE1A84B" w14:textId="550807BA" w:rsidR="00E4693F" w:rsidRDefault="00E4693F" w:rsidP="00E4693F">
            <w:pPr>
              <w:rPr>
                <w:b/>
                <w:bCs/>
              </w:rPr>
            </w:pPr>
            <w:r>
              <w:rPr>
                <w:b/>
                <w:bCs/>
              </w:rPr>
              <w:t xml:space="preserve">Mandatory Duty of Candour e-learning completed by all staff via </w:t>
            </w:r>
            <w:r w:rsidR="008650B7">
              <w:rPr>
                <w:b/>
                <w:bCs/>
              </w:rPr>
              <w:t>Atlas</w:t>
            </w:r>
            <w:r>
              <w:rPr>
                <w:b/>
                <w:bCs/>
              </w:rPr>
              <w:t xml:space="preserve"> training portal </w:t>
            </w:r>
          </w:p>
        </w:tc>
      </w:tr>
      <w:tr w:rsidR="00E4693F" w14:paraId="5CFEB7CD" w14:textId="77777777" w:rsidTr="00A306AC">
        <w:tc>
          <w:tcPr>
            <w:tcW w:w="3005" w:type="dxa"/>
          </w:tcPr>
          <w:p w14:paraId="55EC572F" w14:textId="72932639" w:rsidR="00E4693F" w:rsidRDefault="00BB4712" w:rsidP="00E4693F">
            <w:pPr>
              <w:rPr>
                <w:b/>
                <w:bCs/>
              </w:rPr>
            </w:pPr>
            <w:r>
              <w:rPr>
                <w:b/>
                <w:bCs/>
              </w:rPr>
              <w:t>Do you have a Duty of Candour Policy or written duty of candour procedure</w:t>
            </w:r>
          </w:p>
        </w:tc>
        <w:tc>
          <w:tcPr>
            <w:tcW w:w="6011" w:type="dxa"/>
          </w:tcPr>
          <w:p w14:paraId="40356F61" w14:textId="4A253C81" w:rsidR="00E4693F" w:rsidRDefault="00BB4712" w:rsidP="00E4693F">
            <w:pPr>
              <w:rPr>
                <w:b/>
                <w:bCs/>
              </w:rPr>
            </w:pPr>
            <w:r>
              <w:rPr>
                <w:b/>
                <w:bCs/>
              </w:rPr>
              <w:t>Yes – Accidents and Incident Reporting Procedure</w:t>
            </w:r>
          </w:p>
        </w:tc>
      </w:tr>
    </w:tbl>
    <w:p w14:paraId="7774994B" w14:textId="122E449B" w:rsidR="00E4693F" w:rsidRDefault="00E4693F" w:rsidP="00E4693F">
      <w:pPr>
        <w:rPr>
          <w:b/>
          <w:bCs/>
        </w:rPr>
      </w:pPr>
    </w:p>
    <w:p w14:paraId="140AB75E" w14:textId="7A294871" w:rsidR="00BB4712" w:rsidRDefault="00BB4712" w:rsidP="00E4693F">
      <w:pPr>
        <w:rPr>
          <w:b/>
          <w:bCs/>
        </w:rPr>
      </w:pPr>
    </w:p>
    <w:tbl>
      <w:tblPr>
        <w:tblStyle w:val="TableGrid"/>
        <w:tblW w:w="0" w:type="auto"/>
        <w:tblLook w:val="04A0" w:firstRow="1" w:lastRow="0" w:firstColumn="1" w:lastColumn="0" w:noHBand="0" w:noVBand="1"/>
      </w:tblPr>
      <w:tblGrid>
        <w:gridCol w:w="4508"/>
        <w:gridCol w:w="4508"/>
      </w:tblGrid>
      <w:tr w:rsidR="00BB4712" w14:paraId="546ECF47" w14:textId="77777777" w:rsidTr="000E25C5">
        <w:tc>
          <w:tcPr>
            <w:tcW w:w="9016" w:type="dxa"/>
            <w:gridSpan w:val="2"/>
          </w:tcPr>
          <w:p w14:paraId="418DAA54" w14:textId="77777777" w:rsidR="00BB4712" w:rsidRDefault="00BB4712" w:rsidP="00E4693F">
            <w:pPr>
              <w:rPr>
                <w:b/>
                <w:bCs/>
              </w:rPr>
            </w:pPr>
            <w:r>
              <w:rPr>
                <w:b/>
                <w:bCs/>
              </w:rPr>
              <w:t xml:space="preserve">How many incidents happened to which the duty of candour applies? </w:t>
            </w:r>
          </w:p>
          <w:p w14:paraId="02FA3924" w14:textId="47FFF603" w:rsidR="00BB4712" w:rsidRDefault="00BB4712" w:rsidP="00E4693F">
            <w:pPr>
              <w:rPr>
                <w:b/>
                <w:bCs/>
              </w:rPr>
            </w:pPr>
          </w:p>
        </w:tc>
      </w:tr>
      <w:tr w:rsidR="00BB4712" w14:paraId="126142B5" w14:textId="77777777" w:rsidTr="00BB4712">
        <w:tc>
          <w:tcPr>
            <w:tcW w:w="4508" w:type="dxa"/>
          </w:tcPr>
          <w:p w14:paraId="2889C7FF" w14:textId="1FEB68D9" w:rsidR="00BB4712" w:rsidRDefault="00BB4712" w:rsidP="00E4693F">
            <w:pPr>
              <w:rPr>
                <w:b/>
                <w:bCs/>
              </w:rPr>
            </w:pPr>
            <w:r>
              <w:rPr>
                <w:b/>
                <w:bCs/>
              </w:rPr>
              <w:t>Type of unexpected or unintended incidents (not relating to the natural course of someone’s illness or underlying conditions)</w:t>
            </w:r>
          </w:p>
        </w:tc>
        <w:tc>
          <w:tcPr>
            <w:tcW w:w="4508" w:type="dxa"/>
          </w:tcPr>
          <w:p w14:paraId="48CA4260" w14:textId="45614357" w:rsidR="00BB4712" w:rsidRDefault="00BB4712" w:rsidP="00E4693F">
            <w:pPr>
              <w:rPr>
                <w:b/>
                <w:bCs/>
              </w:rPr>
            </w:pPr>
            <w:r>
              <w:rPr>
                <w:b/>
                <w:bCs/>
              </w:rPr>
              <w:t>Number if occurrences (April 20</w:t>
            </w:r>
            <w:r w:rsidR="003C1541">
              <w:rPr>
                <w:b/>
                <w:bCs/>
              </w:rPr>
              <w:t>21</w:t>
            </w:r>
            <w:r>
              <w:rPr>
                <w:b/>
                <w:bCs/>
              </w:rPr>
              <w:t>-March 20</w:t>
            </w:r>
            <w:r w:rsidR="0012405C">
              <w:rPr>
                <w:b/>
                <w:bCs/>
              </w:rPr>
              <w:t>2</w:t>
            </w:r>
            <w:r w:rsidR="003C1541">
              <w:rPr>
                <w:b/>
                <w:bCs/>
              </w:rPr>
              <w:t>2</w:t>
            </w:r>
            <w:r>
              <w:rPr>
                <w:b/>
                <w:bCs/>
              </w:rPr>
              <w:t>)</w:t>
            </w:r>
          </w:p>
        </w:tc>
      </w:tr>
      <w:tr w:rsidR="00BB4712" w14:paraId="591E5169" w14:textId="77777777" w:rsidTr="00BB4712">
        <w:tc>
          <w:tcPr>
            <w:tcW w:w="4508" w:type="dxa"/>
          </w:tcPr>
          <w:p w14:paraId="7720115E" w14:textId="5B5DFE8B" w:rsidR="00BB4712" w:rsidRPr="00BB4712" w:rsidRDefault="00BB4712" w:rsidP="00E4693F">
            <w:r w:rsidRPr="00BB4712">
              <w:t>A person died</w:t>
            </w:r>
          </w:p>
        </w:tc>
        <w:tc>
          <w:tcPr>
            <w:tcW w:w="4508" w:type="dxa"/>
          </w:tcPr>
          <w:p w14:paraId="244729E1" w14:textId="4D326C34" w:rsidR="00BB4712" w:rsidRPr="00BB4712" w:rsidRDefault="00BB4712" w:rsidP="00E4693F">
            <w:r w:rsidRPr="00BB4712">
              <w:t>0</w:t>
            </w:r>
          </w:p>
        </w:tc>
      </w:tr>
      <w:tr w:rsidR="00BB4712" w14:paraId="1BC17C55" w14:textId="77777777" w:rsidTr="00BB4712">
        <w:tc>
          <w:tcPr>
            <w:tcW w:w="4508" w:type="dxa"/>
          </w:tcPr>
          <w:p w14:paraId="35675254" w14:textId="2AD21815" w:rsidR="00BB4712" w:rsidRPr="00BB4712" w:rsidRDefault="00BB4712" w:rsidP="00E4693F">
            <w:r w:rsidRPr="00BB4712">
              <w:t xml:space="preserve">A person incurred </w:t>
            </w:r>
            <w:r w:rsidR="0012405C" w:rsidRPr="00BB4712">
              <w:t>permanent</w:t>
            </w:r>
            <w:r w:rsidRPr="00BB4712">
              <w:t xml:space="preserve"> lessening of bodily, sensory, motor, physiological or intellectual functions</w:t>
            </w:r>
          </w:p>
        </w:tc>
        <w:tc>
          <w:tcPr>
            <w:tcW w:w="4508" w:type="dxa"/>
          </w:tcPr>
          <w:p w14:paraId="57CE2DD7" w14:textId="544098CA" w:rsidR="00BB4712" w:rsidRPr="00BB4712" w:rsidRDefault="00BB4712" w:rsidP="00E4693F">
            <w:r w:rsidRPr="00BB4712">
              <w:t>0</w:t>
            </w:r>
          </w:p>
        </w:tc>
      </w:tr>
      <w:tr w:rsidR="00BB4712" w14:paraId="2CAD4D85" w14:textId="77777777" w:rsidTr="00BB4712">
        <w:tc>
          <w:tcPr>
            <w:tcW w:w="4508" w:type="dxa"/>
          </w:tcPr>
          <w:p w14:paraId="35DC264A" w14:textId="3390E64A" w:rsidR="00BB4712" w:rsidRPr="00BB4712" w:rsidRDefault="00BB4712" w:rsidP="00E4693F">
            <w:r w:rsidRPr="00BB4712">
              <w:t>A person’s treatment increased</w:t>
            </w:r>
          </w:p>
        </w:tc>
        <w:tc>
          <w:tcPr>
            <w:tcW w:w="4508" w:type="dxa"/>
          </w:tcPr>
          <w:p w14:paraId="59B5C0AB" w14:textId="44A66420" w:rsidR="00BB4712" w:rsidRPr="00BB4712" w:rsidRDefault="00BB4712" w:rsidP="00E4693F">
            <w:r w:rsidRPr="00BB4712">
              <w:t>0</w:t>
            </w:r>
          </w:p>
        </w:tc>
      </w:tr>
      <w:tr w:rsidR="00BB4712" w14:paraId="26802C32" w14:textId="77777777" w:rsidTr="00BB4712">
        <w:tc>
          <w:tcPr>
            <w:tcW w:w="4508" w:type="dxa"/>
          </w:tcPr>
          <w:p w14:paraId="3735CC2F" w14:textId="36A643BC" w:rsidR="00BB4712" w:rsidRPr="00BB4712" w:rsidRDefault="00BB4712" w:rsidP="00E4693F">
            <w:r w:rsidRPr="00BB4712">
              <w:t>The structure of a person’s body changed</w:t>
            </w:r>
          </w:p>
        </w:tc>
        <w:tc>
          <w:tcPr>
            <w:tcW w:w="4508" w:type="dxa"/>
          </w:tcPr>
          <w:p w14:paraId="25E6E8DD" w14:textId="75ABA0B1" w:rsidR="00BB4712" w:rsidRPr="00BB4712" w:rsidRDefault="00BB4712" w:rsidP="00E4693F">
            <w:r w:rsidRPr="00BB4712">
              <w:t>0</w:t>
            </w:r>
          </w:p>
        </w:tc>
      </w:tr>
      <w:tr w:rsidR="00BB4712" w14:paraId="7045DC55" w14:textId="77777777" w:rsidTr="00BB4712">
        <w:tc>
          <w:tcPr>
            <w:tcW w:w="4508" w:type="dxa"/>
          </w:tcPr>
          <w:p w14:paraId="3A12AF49" w14:textId="0C1618D9" w:rsidR="00BB4712" w:rsidRPr="00BB4712" w:rsidRDefault="00BB4712" w:rsidP="00E4693F">
            <w:r w:rsidRPr="00BB4712">
              <w:t>A person’s life expectancy shortened</w:t>
            </w:r>
          </w:p>
        </w:tc>
        <w:tc>
          <w:tcPr>
            <w:tcW w:w="4508" w:type="dxa"/>
          </w:tcPr>
          <w:p w14:paraId="79DB61DA" w14:textId="281D4FC2" w:rsidR="00BB4712" w:rsidRPr="00BB4712" w:rsidRDefault="00BB4712" w:rsidP="00E4693F">
            <w:r w:rsidRPr="00BB4712">
              <w:t>0</w:t>
            </w:r>
          </w:p>
        </w:tc>
      </w:tr>
      <w:tr w:rsidR="00BB4712" w14:paraId="42BDB899" w14:textId="77777777" w:rsidTr="00BB4712">
        <w:tc>
          <w:tcPr>
            <w:tcW w:w="4508" w:type="dxa"/>
          </w:tcPr>
          <w:p w14:paraId="432297B3" w14:textId="003CB03F" w:rsidR="00BB4712" w:rsidRPr="00BB4712" w:rsidRDefault="00BB4712" w:rsidP="00E4693F">
            <w:r w:rsidRPr="00BB4712">
              <w:t xml:space="preserve">A person’s sensory, </w:t>
            </w:r>
            <w:proofErr w:type="gramStart"/>
            <w:r w:rsidRPr="00BB4712">
              <w:t>motor</w:t>
            </w:r>
            <w:proofErr w:type="gramEnd"/>
            <w:r w:rsidRPr="00BB4712">
              <w:t xml:space="preserve"> or intellectual functions was impaired for 28 days or more</w:t>
            </w:r>
          </w:p>
        </w:tc>
        <w:tc>
          <w:tcPr>
            <w:tcW w:w="4508" w:type="dxa"/>
          </w:tcPr>
          <w:p w14:paraId="21227A62" w14:textId="3DB6C7D7" w:rsidR="00BB4712" w:rsidRPr="00BB4712" w:rsidRDefault="00BB4712" w:rsidP="00E4693F">
            <w:r w:rsidRPr="00BB4712">
              <w:t>0</w:t>
            </w:r>
          </w:p>
        </w:tc>
      </w:tr>
      <w:tr w:rsidR="00BB4712" w14:paraId="23D81E86" w14:textId="77777777" w:rsidTr="00BB4712">
        <w:tc>
          <w:tcPr>
            <w:tcW w:w="4508" w:type="dxa"/>
          </w:tcPr>
          <w:p w14:paraId="035FABDD" w14:textId="10CA43BF" w:rsidR="00BB4712" w:rsidRPr="00BB4712" w:rsidRDefault="00BB4712" w:rsidP="00E4693F">
            <w:r w:rsidRPr="00BB4712">
              <w:t>A person experienced pain or psychological harm for 28 days or more</w:t>
            </w:r>
          </w:p>
        </w:tc>
        <w:tc>
          <w:tcPr>
            <w:tcW w:w="4508" w:type="dxa"/>
          </w:tcPr>
          <w:p w14:paraId="0850EE71" w14:textId="591CB774" w:rsidR="00BB4712" w:rsidRPr="00BB4712" w:rsidRDefault="00BB4712" w:rsidP="00E4693F">
            <w:r w:rsidRPr="00BB4712">
              <w:t>0</w:t>
            </w:r>
          </w:p>
        </w:tc>
      </w:tr>
      <w:tr w:rsidR="00BB4712" w14:paraId="6FAD3E75" w14:textId="77777777" w:rsidTr="00BB4712">
        <w:tc>
          <w:tcPr>
            <w:tcW w:w="4508" w:type="dxa"/>
          </w:tcPr>
          <w:p w14:paraId="3517BA5F" w14:textId="1AC255CE" w:rsidR="00BB4712" w:rsidRPr="00BB4712" w:rsidRDefault="00BB4712" w:rsidP="00E4693F">
            <w:r w:rsidRPr="00BB4712">
              <w:t xml:space="preserve">A person needed health treatment </w:t>
            </w:r>
            <w:proofErr w:type="gramStart"/>
            <w:r w:rsidRPr="00BB4712">
              <w:t>in order to</w:t>
            </w:r>
            <w:proofErr w:type="gramEnd"/>
            <w:r w:rsidRPr="00BB4712">
              <w:t xml:space="preserve"> prevent them dying</w:t>
            </w:r>
          </w:p>
        </w:tc>
        <w:tc>
          <w:tcPr>
            <w:tcW w:w="4508" w:type="dxa"/>
          </w:tcPr>
          <w:p w14:paraId="6A55911F" w14:textId="2634F80C" w:rsidR="00BB4712" w:rsidRPr="00BB4712" w:rsidRDefault="00BB4712" w:rsidP="00E4693F">
            <w:r w:rsidRPr="00BB4712">
              <w:t>0</w:t>
            </w:r>
          </w:p>
        </w:tc>
      </w:tr>
      <w:tr w:rsidR="00BB4712" w14:paraId="087D09A9" w14:textId="77777777" w:rsidTr="00BB4712">
        <w:tc>
          <w:tcPr>
            <w:tcW w:w="4508" w:type="dxa"/>
          </w:tcPr>
          <w:p w14:paraId="6441F36E" w14:textId="3DD6EA29" w:rsidR="00BB4712" w:rsidRPr="00BB4712" w:rsidRDefault="00BB4712" w:rsidP="00E4693F">
            <w:r w:rsidRPr="00BB4712">
              <w:t xml:space="preserve">A person needing health treatment </w:t>
            </w:r>
            <w:proofErr w:type="gramStart"/>
            <w:r w:rsidRPr="00BB4712">
              <w:t>in order to</w:t>
            </w:r>
            <w:proofErr w:type="gramEnd"/>
            <w:r w:rsidRPr="00BB4712">
              <w:t xml:space="preserve"> prevent other injuries as listed above</w:t>
            </w:r>
          </w:p>
        </w:tc>
        <w:tc>
          <w:tcPr>
            <w:tcW w:w="4508" w:type="dxa"/>
          </w:tcPr>
          <w:p w14:paraId="5124B693" w14:textId="272A8B76" w:rsidR="00BB4712" w:rsidRPr="00BB4712" w:rsidRDefault="00BB4712" w:rsidP="00E4693F">
            <w:r w:rsidRPr="00BB4712">
              <w:t>0</w:t>
            </w:r>
          </w:p>
        </w:tc>
      </w:tr>
      <w:tr w:rsidR="00BB4712" w14:paraId="3A9033FF" w14:textId="77777777" w:rsidTr="00BB4712">
        <w:tc>
          <w:tcPr>
            <w:tcW w:w="4508" w:type="dxa"/>
          </w:tcPr>
          <w:p w14:paraId="3FE84D38" w14:textId="0893C5F6" w:rsidR="00BB4712" w:rsidRDefault="00BB4712" w:rsidP="00E4693F">
            <w:pPr>
              <w:rPr>
                <w:b/>
                <w:bCs/>
              </w:rPr>
            </w:pPr>
            <w:r>
              <w:rPr>
                <w:b/>
                <w:bCs/>
              </w:rPr>
              <w:t>Total</w:t>
            </w:r>
          </w:p>
        </w:tc>
        <w:tc>
          <w:tcPr>
            <w:tcW w:w="4508" w:type="dxa"/>
          </w:tcPr>
          <w:p w14:paraId="4DE7395B" w14:textId="281E22D2" w:rsidR="00BB4712" w:rsidRDefault="00BB4712" w:rsidP="00E4693F">
            <w:pPr>
              <w:rPr>
                <w:b/>
                <w:bCs/>
              </w:rPr>
            </w:pPr>
            <w:r>
              <w:rPr>
                <w:b/>
                <w:bCs/>
              </w:rPr>
              <w:t>0</w:t>
            </w:r>
          </w:p>
        </w:tc>
      </w:tr>
    </w:tbl>
    <w:p w14:paraId="1CCD1934" w14:textId="4921E9DB" w:rsidR="00BB4712" w:rsidRDefault="00BB4712" w:rsidP="00E4693F">
      <w:pPr>
        <w:rPr>
          <w:b/>
          <w:bCs/>
        </w:rPr>
      </w:pPr>
    </w:p>
    <w:p w14:paraId="072A1884" w14:textId="24AED44D" w:rsidR="00C31E04" w:rsidRDefault="00C31E04" w:rsidP="00E4693F">
      <w:pPr>
        <w:rPr>
          <w:b/>
          <w:bCs/>
        </w:rPr>
      </w:pPr>
      <w:r>
        <w:rPr>
          <w:b/>
          <w:bCs/>
        </w:rPr>
        <w:t>Information about our Policies</w:t>
      </w:r>
    </w:p>
    <w:p w14:paraId="3515471C" w14:textId="33560C7E" w:rsidR="00CE2A02" w:rsidRDefault="00CE2A02" w:rsidP="00E4693F">
      <w:pPr>
        <w:rPr>
          <w:b/>
          <w:bCs/>
        </w:rPr>
      </w:pPr>
      <w:r>
        <w:rPr>
          <w:b/>
          <w:bCs/>
        </w:rPr>
        <w:t>In the event of an incident occurring which triggers the duty of Candour, our staff would report the incident to the on-call manager who would record the incident and report to the Operations Manager who will be responsible for ensuring that the duty of candour procedure is followed. The Operations Manager is responsible for notifying the Care Inspectorate.  Where an incident has oc</w:t>
      </w:r>
      <w:r w:rsidR="00C31E04">
        <w:rPr>
          <w:b/>
          <w:bCs/>
        </w:rPr>
        <w:t>c</w:t>
      </w:r>
      <w:r>
        <w:rPr>
          <w:b/>
          <w:bCs/>
        </w:rPr>
        <w:t>ur</w:t>
      </w:r>
      <w:r w:rsidR="00C31E04">
        <w:rPr>
          <w:b/>
          <w:bCs/>
        </w:rPr>
        <w:t>r</w:t>
      </w:r>
      <w:r>
        <w:rPr>
          <w:b/>
          <w:bCs/>
        </w:rPr>
        <w:t>ed</w:t>
      </w:r>
      <w:r w:rsidR="00C31E04">
        <w:rPr>
          <w:b/>
          <w:bCs/>
        </w:rPr>
        <w:t>,</w:t>
      </w:r>
      <w:r>
        <w:rPr>
          <w:b/>
          <w:bCs/>
        </w:rPr>
        <w:t xml:space="preserve"> the Operations Manager will arrange a learning review following investigation of the incident with the staff concerned. This is necessary to enable a review of what happened and what changes may be required </w:t>
      </w:r>
      <w:proofErr w:type="gramStart"/>
      <w:r>
        <w:rPr>
          <w:b/>
          <w:bCs/>
        </w:rPr>
        <w:t>e.g.</w:t>
      </w:r>
      <w:proofErr w:type="gramEnd"/>
      <w:r>
        <w:rPr>
          <w:b/>
          <w:bCs/>
        </w:rPr>
        <w:t xml:space="preserve"> training or organisational procedures.</w:t>
      </w:r>
    </w:p>
    <w:p w14:paraId="52B059A9" w14:textId="77777777" w:rsidR="00CE2A02" w:rsidRPr="00E4693F" w:rsidRDefault="00CE2A02" w:rsidP="00E4693F">
      <w:pPr>
        <w:rPr>
          <w:b/>
          <w:bCs/>
        </w:rPr>
      </w:pPr>
    </w:p>
    <w:sectPr w:rsidR="00CE2A02" w:rsidRPr="00E4693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7EDDD" w14:textId="77777777" w:rsidR="002A1072" w:rsidRDefault="002A1072" w:rsidP="00E4693F">
      <w:pPr>
        <w:spacing w:after="0" w:line="240" w:lineRule="auto"/>
      </w:pPr>
      <w:r>
        <w:separator/>
      </w:r>
    </w:p>
  </w:endnote>
  <w:endnote w:type="continuationSeparator" w:id="0">
    <w:p w14:paraId="3640521D" w14:textId="77777777" w:rsidR="002A1072" w:rsidRDefault="002A1072" w:rsidP="00E46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A0926" w14:textId="77777777" w:rsidR="002A1072" w:rsidRDefault="002A1072" w:rsidP="00E4693F">
      <w:pPr>
        <w:spacing w:after="0" w:line="240" w:lineRule="auto"/>
      </w:pPr>
      <w:r>
        <w:separator/>
      </w:r>
    </w:p>
  </w:footnote>
  <w:footnote w:type="continuationSeparator" w:id="0">
    <w:p w14:paraId="7B991E9A" w14:textId="77777777" w:rsidR="002A1072" w:rsidRDefault="002A1072" w:rsidP="00E46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25FF1" w14:textId="1E6F0C5F" w:rsidR="00E4693F" w:rsidRDefault="00E4693F">
    <w:pPr>
      <w:pStyle w:val="Header"/>
    </w:pPr>
    <w:r>
      <w:tab/>
    </w:r>
    <w:r>
      <w:tab/>
    </w:r>
    <w:r>
      <w:rPr>
        <w:noProof/>
      </w:rPr>
      <w:drawing>
        <wp:inline distT="0" distB="0" distL="0" distR="0" wp14:anchorId="25652E50" wp14:editId="35AE668A">
          <wp:extent cx="1438275" cy="523875"/>
          <wp:effectExtent l="0" t="0" r="9525" b="9525"/>
          <wp:docPr id="1" name="Picture 1" descr="C:\Users\carey\AppData\Local\Microsoft\Windows\INetCache\Content.MSO\DA9F77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ey\AppData\Local\Microsoft\Windows\INetCache\Content.MSO\DA9F777D.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5238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93F"/>
    <w:rsid w:val="0012405C"/>
    <w:rsid w:val="002A1072"/>
    <w:rsid w:val="003C1541"/>
    <w:rsid w:val="003E2CB3"/>
    <w:rsid w:val="00417C69"/>
    <w:rsid w:val="008650B7"/>
    <w:rsid w:val="00947894"/>
    <w:rsid w:val="00BB4712"/>
    <w:rsid w:val="00C31E04"/>
    <w:rsid w:val="00CE2A02"/>
    <w:rsid w:val="00E46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9EC28"/>
  <w15:chartTrackingRefBased/>
  <w15:docId w15:val="{814BDA49-A87E-443F-BC02-48BD8D655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9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93F"/>
  </w:style>
  <w:style w:type="paragraph" w:styleId="Footer">
    <w:name w:val="footer"/>
    <w:basedOn w:val="Normal"/>
    <w:link w:val="FooterChar"/>
    <w:uiPriority w:val="99"/>
    <w:unhideWhenUsed/>
    <w:rsid w:val="00E469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93F"/>
  </w:style>
  <w:style w:type="table" w:styleId="TableGrid">
    <w:name w:val="Table Grid"/>
    <w:basedOn w:val="TableNormal"/>
    <w:uiPriority w:val="39"/>
    <w:rsid w:val="00E4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E2A0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263839">
      <w:bodyDiv w:val="1"/>
      <w:marLeft w:val="0"/>
      <w:marRight w:val="0"/>
      <w:marTop w:val="0"/>
      <w:marBottom w:val="0"/>
      <w:divBdr>
        <w:top w:val="none" w:sz="0" w:space="0" w:color="auto"/>
        <w:left w:val="none" w:sz="0" w:space="0" w:color="auto"/>
        <w:bottom w:val="none" w:sz="0" w:space="0" w:color="auto"/>
        <w:right w:val="none" w:sz="0" w:space="0" w:color="auto"/>
      </w:divBdr>
    </w:div>
    <w:div w:id="194676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Connolly</dc:creator>
  <cp:keywords/>
  <dc:description/>
  <cp:lastModifiedBy>scott falconer</cp:lastModifiedBy>
  <cp:revision>5</cp:revision>
  <dcterms:created xsi:type="dcterms:W3CDTF">2020-11-13T10:45:00Z</dcterms:created>
  <dcterms:modified xsi:type="dcterms:W3CDTF">2022-11-10T12:50:00Z</dcterms:modified>
</cp:coreProperties>
</file>